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drawing>
          <wp:inline xmlns:a="http://schemas.openxmlformats.org/drawingml/2006/main" xmlns:pic="http://schemas.openxmlformats.org/drawingml/2006/picture">
            <wp:extent cx="1728000" cy="32289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trim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28000" cy="32289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Zasady korzystania z karty wolontariusza</w:t>
      </w:r>
    </w:p>
    <w:p>
      <w:pPr>
        <w:spacing w:after="160"/>
      </w:pPr>
      <w:r>
        <w:rPr>
          <w:b/>
          <w:sz w:val="24"/>
        </w:rPr>
        <w:t>Program Punkty Dobra | Just Do It</w:t>
      </w:r>
    </w:p>
    <w:p>
      <w:pPr>
        <w:spacing w:after="300"/>
      </w:pPr>
      <w:r>
        <w:rPr>
          <w:sz w:val="18"/>
        </w:rPr>
        <w:t>Wersja 1.0 z 4 listopada 2026 r.</w:t>
        <w:br/>
        <w:t>Projekt do zatwierdzenia przez właściwy organ Stowarzyszenia</w:t>
      </w:r>
    </w:p>
    <w:p>
      <w:pPr>
        <w:spacing w:after="240"/>
      </w:pPr>
      <w:r>
        <w:t>Dokument określa zasady korzystania z imiennej karty wolontariusza w wersji wirtualnej i plastikowej NFC oraz jej powiązanie z punktami i benefitami Programu. Stosuje się go łącznie z Regulaminem uczestnictwa.</w:t>
      </w:r>
    </w:p>
    <w:p>
      <w:pPr>
        <w:pStyle w:val="Heading1"/>
      </w:pPr>
      <w:r>
        <w:t>Rozdział 1  Przedmiot i organizator karty</w:t>
      </w:r>
    </w:p>
    <w:p>
      <w:pPr>
        <w:ind w:left="295" w:hanging="295"/>
      </w:pPr>
      <w:r>
        <w:t xml:space="preserve">1. </w:t>
      </w:r>
      <w:r>
        <w:t>Zasady określają uzyskanie, używanie, weryfikację, blokowanie i unieważnianie Karty Wolontariusza programu „Punkty Dobra | Just Do It”, zwanej dalej Kartą.</w:t>
      </w:r>
    </w:p>
    <w:p>
      <w:pPr>
        <w:ind w:left="295" w:hanging="295"/>
      </w:pPr>
      <w:r>
        <w:t xml:space="preserve">2. </w:t>
      </w:r>
      <w:r>
        <w:t>Organizatorem i podmiotem wydającym Kartę jest Stowarzyszenie Centrum Wsparcia - „Just Do It”, ul. Żubrza 16/1, 54-229 Wrocław; KRS 0000983480; NIP 8943193181; REGON 522866876. Kontakt dotyczący Karty i utraty dostępu: info@centrum-wsparcia.pl.</w:t>
      </w:r>
    </w:p>
    <w:p>
      <w:pPr>
        <w:ind w:left="295" w:hanging="295"/>
      </w:pPr>
      <w:r>
        <w:t xml:space="preserve">3. </w:t>
      </w:r>
      <w:r>
        <w:t>Warunkiem korzystania jest przyjęcie do Programu zgodnie z Regulaminem uczestnictwa. W zakresie salda i nagród stosuje się Regulamin uczestnictwa, a w zakresie nośnika, identyfikacji i obsługi Karty - niniejsze Zasady.</w:t>
      </w:r>
    </w:p>
    <w:p>
      <w:pPr>
        <w:ind w:left="295" w:hanging="295"/>
      </w:pPr>
      <w:r>
        <w:t xml:space="preserve">4. </w:t>
      </w:r>
      <w:r>
        <w:t>Karta potwierdza uprawnienia w Programie. Nie jest dokumentem tożsamości, kartą płatniczą, legitymacją urzędową, potwierdzeniem członkostwa w Stowarzyszeniu ani upoważnieniem do jego reprezentowania.</w:t>
      </w:r>
    </w:p>
    <w:p>
      <w:pPr>
        <w:pStyle w:val="Heading1"/>
      </w:pPr>
      <w:r>
        <w:t>Rozdział 2  Wersje i dane Karty</w:t>
      </w:r>
    </w:p>
    <w:p>
      <w:pPr>
        <w:ind w:left="295" w:hanging="295"/>
      </w:pPr>
      <w:r>
        <w:t xml:space="preserve">1. </w:t>
      </w:r>
      <w:r>
        <w:t>Karta może mieć postać wirtualną, udostępnianą w działającym rozwiązaniu wskazanym przez Organizatora, lub plastikową, wyposażoną w chip NFC i kod QR. Obie wersje są przypisane do tej samej osoby i ewidencji uprawnień.</w:t>
      </w:r>
    </w:p>
    <w:p>
      <w:pPr>
        <w:ind w:left="295" w:hanging="295"/>
      </w:pPr>
      <w:r>
        <w:t xml:space="preserve">2. </w:t>
      </w:r>
      <w:r>
        <w:t>Awers i rewers Karty obejmują oznaczenie Programu i Organizatora, imię i nazwisko posiadacza, indywidualny numer lub identyfikator, oznaczenie NFC lub QR oraz informacje potrzebne do obsługi. Jeżeli stosuje się termin ważności lub nazwę organizacji wolontariatu, muszą odpowiadać Ewidencji.</w:t>
      </w:r>
    </w:p>
    <w:p>
      <w:pPr>
        <w:ind w:left="295" w:hanging="295"/>
      </w:pPr>
      <w:r>
        <w:t xml:space="preserve">3. </w:t>
      </w:r>
      <w:r>
        <w:t>Danych takich jak numer PESEL, numer dokumentu tożsamości, adres zamieszkania, informacje medyczne i dane płatnicze nie umieszcza się na Karcie, w jej kodzie QR ani w zwykłym, publicznie odczytywanym rekordzie NFC.</w:t>
      </w:r>
    </w:p>
    <w:p>
      <w:pPr>
        <w:ind w:left="295" w:hanging="295"/>
      </w:pPr>
      <w:r>
        <w:t xml:space="preserve">4. </w:t>
      </w:r>
      <w:r>
        <w:t>Indywidualny identyfikator i odnośnik w NFC oraz QR łączą Kartę z jej wpisem w systemie. Dane posiadacza pozostają w Ewidencji i są udostępniane zgodnie z zakresem uprawnień odbiorcy. Numer wydrukowany na Karcie może być odrębny od technicznego tokenu weryfikacyjnego.</w:t>
      </w:r>
    </w:p>
    <w:p>
      <w:pPr>
        <w:ind w:left="295" w:hanging="295"/>
      </w:pPr>
      <w:r>
        <w:t xml:space="preserve">5. </w:t>
      </w:r>
      <w:r>
        <w:t>Karty i kody oznaczone „WZÓR”, „DEMO” lub „NIEAKTYWNA” służą prezentacji i nie uprawniają do zniżek ani odbioru nagród. Opublikowana wizualizacja nie oznacza wydania aktywnej Karty.</w:t>
      </w:r>
    </w:p>
    <w:p>
      <w:pPr>
        <w:pStyle w:val="Heading1"/>
      </w:pPr>
      <w:r>
        <w:t>Rozdział 3  Uzyskanie i wydanie Karty</w:t>
      </w:r>
    </w:p>
    <w:p>
      <w:pPr>
        <w:ind w:left="295" w:hanging="295"/>
      </w:pPr>
      <w:r>
        <w:t xml:space="preserve">1. </w:t>
      </w:r>
      <w:r>
        <w:t>O Kartę może wystąpić przyjęty Uczestnik Programu, także wolontariusz Organizacji Uczestniczącej. Organizacja zgłasza swoich wolontariuszy zgodnie z porozumieniem, a każda osoba przechodzi indywidualną weryfikację uprawnień.</w:t>
      </w:r>
    </w:p>
    <w:p>
      <w:pPr>
        <w:ind w:left="295" w:hanging="295"/>
      </w:pPr>
      <w:r>
        <w:t xml:space="preserve">2. </w:t>
      </w:r>
      <w:r>
        <w:t>Warunkiem wydania jest potwierdzenie uczestnictwa, danych posiadacza i zapoznania się z dokumentami Programu. W przypadku osoby niepełnoletniej stosuje się wymagane prawem zgody i ustalenia z przedstawicielem ustawowym.</w:t>
      </w:r>
    </w:p>
    <w:p>
      <w:pPr>
        <w:ind w:left="295" w:hanging="295"/>
      </w:pPr>
      <w:r>
        <w:t xml:space="preserve">3. </w:t>
      </w:r>
      <w:r>
        <w:t>Organizator udostępnia możliwość wyboru wersji wirtualnej lub złożenia wniosku o Kartę plastikową NFC. Wydanie jest możliwe po uruchomieniu odpowiedniego kanału obsługi. Nie pobiera się opłaty wyłącznie za przyjęcie do Programu lub dostęp do samego systemu uprawnień.</w:t>
      </w:r>
    </w:p>
    <w:p>
      <w:pPr>
        <w:ind w:left="295" w:hanging="295"/>
      </w:pPr>
      <w:r>
        <w:t xml:space="preserve">4. </w:t>
      </w:r>
      <w:r>
        <w:t>Przed zamówieniem Karty plastikowej Organizator podaje ewentualną opłatę za wykonanie nośnika, personalizację, duplikat i dostawę, dane podmiotu przyjmującego zamówienie oraz przewidywany termin realizacji. Brak opublikowanej ceny nie oznacza zgody na dowolną opłatę.</w:t>
      </w:r>
    </w:p>
    <w:p>
      <w:pPr>
        <w:ind w:left="295" w:hanging="295"/>
      </w:pPr>
      <w:r>
        <w:t xml:space="preserve">5. </w:t>
      </w:r>
      <w:r>
        <w:t>Formularz zgłoszenia zainteresowania Kartą nie stanowi sam przez się potwierdzonego zamówienia. Organizator przedstawia warunki i uzyskuje ich akceptację przed rozpoczęciem odpłatnej realizacji. Nie zamawia się nośnika na koszt Uczestnika bez jego zgody.</w:t>
      </w:r>
    </w:p>
    <w:p>
      <w:pPr>
        <w:ind w:left="295" w:hanging="295"/>
      </w:pPr>
      <w:r>
        <w:t xml:space="preserve">6. </w:t>
      </w:r>
      <w:r>
        <w:t>Przy odpłatnym zamówieniu stosuje się właściwe przepisy, w tym prawa konsumenta, jeżeli mają zastosowanie. Personalizacja nie wyłącza praw dotyczących wady lub niezgodności. Ewentualne wyłączenie prawa odstąpienia z powodu rzeczy wykonanej według specyfikacji wymaga spełnienia warunków ustawowych i uprzedniej informacji.</w:t>
      </w:r>
    </w:p>
    <w:p>
      <w:pPr>
        <w:ind w:left="295" w:hanging="295"/>
      </w:pPr>
      <w:r>
        <w:t xml:space="preserve">7. </w:t>
      </w:r>
      <w:r>
        <w:t>Przy wydaniu Organizator potwierdza numer, właściciela uprawnień, status i sposób kontaktu. Błędne dane powstałe z winy wydawcy koryguje bez obciążania posiadacza uzasadnionym kosztem tej korekty.</w:t>
      </w:r>
    </w:p>
    <w:p>
      <w:pPr>
        <w:pStyle w:val="Heading1"/>
      </w:pPr>
      <w:r>
        <w:t>Rozdział 4  Aktywność i ważność</w:t>
      </w:r>
    </w:p>
    <w:p>
      <w:pPr>
        <w:ind w:left="295" w:hanging="295"/>
      </w:pPr>
      <w:r>
        <w:t xml:space="preserve">1. </w:t>
      </w:r>
      <w:r>
        <w:t>Karta uzyskuje status Aktywna po potwierdzeniu przez Koordynatora uczestnictwa i uprawnień. Sam wydruk, zapis pliku w telefonie lub odczyt kodu nie aktywują Karty.</w:t>
      </w:r>
    </w:p>
    <w:p>
      <w:pPr>
        <w:ind w:left="295" w:hanging="295"/>
      </w:pPr>
      <w:r>
        <w:t xml:space="preserve">2. </w:t>
      </w:r>
      <w:r>
        <w:t>Karta może mieć status: Oczekująca - weryfikacja nie została zakończona; Aktywna - uprawnia do aktualnych korzyści; Zawieszona - uprawnienia czasowo wstrzymano; Zablokowana - nośnik lub kod zabezpieczono; Unieważniona - dany nośnik lub uczestnictwo zakończono.</w:t>
      </w:r>
    </w:p>
    <w:p>
      <w:pPr>
        <w:ind w:left="295" w:hanging="295"/>
      </w:pPr>
      <w:r>
        <w:t xml:space="preserve">3. </w:t>
      </w:r>
      <w:r>
        <w:t>Status określa aktualny wpis w Ewidencji. Plastikowy nośnik i zapisany obraz mogą pozostać fizycznie niezmienione po utracie uprawnień; nie przesądza to o ważności Karty.</w:t>
      </w:r>
    </w:p>
    <w:p>
      <w:pPr>
        <w:ind w:left="295" w:hanging="295"/>
      </w:pPr>
      <w:r>
        <w:t xml:space="preserve">4. </w:t>
      </w:r>
      <w:r>
        <w:t>Zasady nie wprowadzają miesięcznego minimum godzin ani Punktów. Zerowe saldo nie wyłącza samo w sobie zniżek dla aktywnego Uczestnika. Prawo do wymiany nagród zależy natomiast od salda i warunków Regulaminu uczestnictwa.</w:t>
      </w:r>
    </w:p>
    <w:p>
      <w:pPr>
        <w:ind w:left="295" w:hanging="295"/>
      </w:pPr>
      <w:r>
        <w:t xml:space="preserve">5. </w:t>
      </w:r>
      <w:r>
        <w:t>Przyczyną zawieszenia lub blokady może być rezygnacja, zakończenie uczestnictwa, utrata nośnika, zgłoszenie naruszenia bezpieczeństwa, konieczność wyjaśnienia istotnej niezgodności danych albo udokumentowane podejrzenie nadużycia.</w:t>
      </w:r>
    </w:p>
    <w:p>
      <w:pPr>
        <w:ind w:left="295" w:hanging="295"/>
      </w:pPr>
      <w:r>
        <w:t xml:space="preserve">6. </w:t>
      </w:r>
      <w:r>
        <w:t>Organizator podaje powód i sposób wyjaśnienia sprawy. Ograniczenie jest proporcjonalne i nie kasuje automatycznie prawidłowo naliczonych Punktów. Po ustaniu przyczyny przywraca uprawnienia lub wydaje bezpieczny nowy identyfikator, informując posiadacza.</w:t>
      </w:r>
    </w:p>
    <w:p>
      <w:pPr>
        <w:pStyle w:val="Heading1"/>
      </w:pPr>
      <w:r>
        <w:t>Rozdział 5  Korzystanie z ofert Partnerów</w:t>
      </w:r>
    </w:p>
    <w:p>
      <w:pPr>
        <w:ind w:left="295" w:hanging="295"/>
      </w:pPr>
      <w:r>
        <w:t xml:space="preserve">1. </w:t>
      </w:r>
      <w:r>
        <w:t>Aktywny posiadacz Karty może korzystać z aktualnych Ofert Partnerskich zgodnie z ich warunkami. Dotyczy to także wolontariuszy organizacji przyjętych do Programu, o ile oferta nie przewiduje wcześniej ogłoszonego, obiektywnie uzasadnionego ograniczenia.</w:t>
      </w:r>
    </w:p>
    <w:p>
      <w:pPr>
        <w:ind w:left="295" w:hanging="295"/>
      </w:pPr>
      <w:r>
        <w:t xml:space="preserve">2. </w:t>
      </w:r>
      <w:r>
        <w:t>Przed skorzystaniem posiadacz sprawdza zakres zniżki, okres ważności, placówkę lub kanał realizacji, wymagane rezerwacje, limity i możliwość łączenia promocji. Ogólna informacja o sieci partnerów nie gwarantuje określonej zniżki w każdej firmie.</w:t>
      </w:r>
    </w:p>
    <w:p>
      <w:pPr>
        <w:ind w:left="295" w:hanging="295"/>
      </w:pPr>
      <w:r>
        <w:t xml:space="preserve">3. </w:t>
      </w:r>
      <w:r>
        <w:t>Kartę okazuje się przed zawarciem umowy lub w innym momencie wyraźnie wskazanym w ofercie. Partner potwierdza uprawnienie uzgodnionym kanałem, np. odczytem QR, NFC lub obsługą Koordynatora w razie dostępnej procedury zastępczej.</w:t>
      </w:r>
    </w:p>
    <w:p>
      <w:pPr>
        <w:ind w:left="295" w:hanging="295"/>
      </w:pPr>
      <w:r>
        <w:t xml:space="preserve">4. </w:t>
      </w:r>
      <w:r>
        <w:t>Z Karty korzysta wyłącznie osoba, do której ją przypisano. Nie wolno jej użyczać, udostępniać kodu osobom trzecim ani umożliwiać innym korzystania z przywilejów przez kopię lub zrzut ekranu.</w:t>
      </w:r>
    </w:p>
    <w:p>
      <w:pPr>
        <w:ind w:left="295" w:hanging="295"/>
      </w:pPr>
      <w:r>
        <w:t xml:space="preserve">5. </w:t>
      </w:r>
      <w:r>
        <w:t>W uzasadnionym przypadku Partner może poprosić o okazanie dokumentu ze zdjęciem wyłącznie w zakresie niezbędnym do porównania tożsamości z Kartą. Nie może na tej podstawie zatrzymywać dokumentu, kopiować go ani zapisywać jego numeru. Dla osoby bez takiego dokumentu Organizator i Partner ustalają proporcjonalny sposób potwierdzenia.</w:t>
      </w:r>
    </w:p>
    <w:p>
      <w:pPr>
        <w:ind w:left="295" w:hanging="295"/>
      </w:pPr>
      <w:r>
        <w:t xml:space="preserve">6. </w:t>
      </w:r>
      <w:r>
        <w:t>Partner otrzymuje informację o ważności i zakresie uprawnienia oraz tylko niezbędne dane identyfikacyjne. Nie ma automatycznego dostępu do salda, historii wolontariatu, całej deklaracji ani danych osób korzystających z pomocy.</w:t>
      </w:r>
    </w:p>
    <w:p>
      <w:pPr>
        <w:ind w:left="295" w:hanging="295"/>
      </w:pPr>
      <w:r>
        <w:t xml:space="preserve">7. </w:t>
      </w:r>
      <w:r>
        <w:t>Korzystanie z typowej zniżki nie zużywa Punktów. Oferta wymagająca ich wymiany musi to wyraźnie wskazywać, a rozliczenie wymaga osobnej akceptacji posiadacza.</w:t>
      </w:r>
    </w:p>
    <w:p>
      <w:pPr>
        <w:ind w:left="295" w:hanging="295"/>
      </w:pPr>
      <w:r>
        <w:t xml:space="preserve">8. </w:t>
      </w:r>
      <w:r>
        <w:t>Za towar lub usługę odpowiada sprzedawca albo wykonawca wskazany w ofercie. Posiadacz ponosi uzgodnioną cenę po zastosowaniu benefitu. Reklamacje zakupu kieruje do tego podmiotu, a kwestie statusu Karty lub odmowy uznania opublikowanego uprawnienia może równolegle zgłosić Organizatorowi.</w:t>
      </w:r>
    </w:p>
    <w:p>
      <w:pPr>
        <w:pStyle w:val="Heading1"/>
      </w:pPr>
      <w:r>
        <w:t>Rozdział 6  Punkty i odbiór nagród</w:t>
      </w:r>
    </w:p>
    <w:p>
      <w:pPr>
        <w:ind w:left="295" w:hanging="295"/>
      </w:pPr>
      <w:r>
        <w:t xml:space="preserve">1. </w:t>
      </w:r>
      <w:r>
        <w:t>Karta identyfikuje Uczestnika, lecz Punkty są przechowywane w Ewidencji Programu. Uszkodzenie lub wymiana nośnika nie powodują ich utraty.</w:t>
      </w:r>
    </w:p>
    <w:p>
      <w:pPr>
        <w:ind w:left="295" w:hanging="295"/>
      </w:pPr>
      <w:r>
        <w:t xml:space="preserve">2. </w:t>
      </w:r>
      <w:r>
        <w:t>Wymiana Punktów na nagrodę wymaga potwierdzonego salda, dostępności, akceptacji warunków i potwierdzenia Koordynatora. Samo zbliżenie Karty do telefonu lub czytnika ani zeskanowanie QR nie stanowi zgody na pomniejszenie salda.</w:t>
      </w:r>
    </w:p>
    <w:p>
      <w:pPr>
        <w:ind w:left="295" w:hanging="295"/>
      </w:pPr>
      <w:r>
        <w:t xml:space="preserve">3. </w:t>
      </w:r>
      <w:r>
        <w:t>Wersja wirtualna i fizyczna nie tworzą dwóch sald i nie uprawniają do dwukrotnego wykorzystania tej samej nagrody albo jednorazowego benefitu.</w:t>
      </w:r>
    </w:p>
    <w:p>
      <w:pPr>
        <w:ind w:left="295" w:hanging="295"/>
      </w:pPr>
      <w:r>
        <w:t xml:space="preserve">4. </w:t>
      </w:r>
      <w:r>
        <w:t>W razie utraty Karty można potwierdzić tożsamość i uprawnienia przez Organizatora w sposób odpowiedni do ryzyka operacji. Nie wymaga się przesyłania skanu dokumentu, jeśli sprawę można bezpiecznie załatwić przy użyciu mniejszego zakresu danych.</w:t>
      </w:r>
    </w:p>
    <w:p>
      <w:pPr>
        <w:pStyle w:val="Heading1"/>
      </w:pPr>
      <w:r>
        <w:t>Rozdział 7  NFC i kod QR</w:t>
      </w:r>
    </w:p>
    <w:p>
      <w:pPr>
        <w:ind w:left="295" w:hanging="295"/>
      </w:pPr>
      <w:r>
        <w:t xml:space="preserve">1. </w:t>
      </w:r>
      <w:r>
        <w:t>Chip NFC zawiera indywidualny identyfikator lub techniczny token oraz link do właściwego kanału weryfikacji. QR zapewnia alternatywną drogę do tej samej ewidencji. Dokładny format danych dobiera Organizator przed personalizacją nośników.</w:t>
      </w:r>
    </w:p>
    <w:p>
      <w:pPr>
        <w:ind w:left="295" w:hanging="295"/>
      </w:pPr>
      <w:r>
        <w:t xml:space="preserve">2. </w:t>
      </w:r>
      <w:r>
        <w:t>NFC wymaga kompatybilnego urządzenia, a weryfikacja online może wymagać dostępu do Internetu. Organizator publikuje instrukcję i wymagania dla używanego rozwiązania. Nie gwarantuje odczytu na każdym telefonie i czytniku.</w:t>
      </w:r>
    </w:p>
    <w:p>
      <w:pPr>
        <w:ind w:left="295" w:hanging="295"/>
      </w:pPr>
      <w:r>
        <w:t xml:space="preserve">3. </w:t>
      </w:r>
      <w:r>
        <w:t>Karta nie inicjuje płatności ani samodzielnego pobrania środków. Standardowy identyfikator lub zwykły odnośnik NFC nie są samodzielnym dowodem tożsamości; o uprawnieniu decyduje bieżąca weryfikacja i, gdy potrzebne, dodatkowe potwierdzenie.</w:t>
      </w:r>
    </w:p>
    <w:p>
      <w:pPr>
        <w:ind w:left="295" w:hanging="295"/>
      </w:pPr>
      <w:r>
        <w:t xml:space="preserve">4. </w:t>
      </w:r>
      <w:r>
        <w:t>Organizator przewiduje możliwość blokady i zmiany tokenu po utracie lub skopiowaniu. Nie opiera bezpieczeństwa wyłącznie na tajności numeru wydrukowanego na Karcie. Dostęp do dodatkowych danych jest chroniony stosownie do roli i ryzyka.</w:t>
      </w:r>
    </w:p>
    <w:p>
      <w:pPr>
        <w:ind w:left="295" w:hanging="295"/>
      </w:pPr>
      <w:r>
        <w:t xml:space="preserve">5. </w:t>
      </w:r>
      <w:r>
        <w:t>Posiadacz korzysta wyłącznie z adresów wskazanych przez Organizatora. Podejrzany odnośnik, nieoczekiwaną prośbę o hasło, płatność lub podanie danych dokumentu zgłasza przed kontynuowaniem operacji. Nie przekazuje haseł ani kodów logowania osobie weryfikującej Kartę.</w:t>
      </w:r>
    </w:p>
    <w:p>
      <w:pPr>
        <w:ind w:left="295" w:hanging="295"/>
      </w:pPr>
      <w:r>
        <w:t xml:space="preserve">6. </w:t>
      </w:r>
      <w:r>
        <w:t>Awaria weryfikacji nie oznacza automatycznej utraty Punktów ani uprawnień. Jeśli Partner nie może sprawdzić statusu, posiadacz może zgłosić sprawę Organizatorowi. Realizację benefitu ustala się bez narzucania nieogłoszonej wcześniej odpłatności.</w:t>
      </w:r>
    </w:p>
    <w:p>
      <w:pPr>
        <w:pStyle w:val="Heading1"/>
      </w:pPr>
      <w:r>
        <w:t>Rozdział 8  Utrata uszkodzenie i duplikat</w:t>
      </w:r>
    </w:p>
    <w:p>
      <w:pPr>
        <w:ind w:left="295" w:hanging="295"/>
      </w:pPr>
      <w:r>
        <w:t xml:space="preserve">1. </w:t>
      </w:r>
      <w:r>
        <w:t>Utratę, kradzież, uszkodzenie lub podejrzenie skopiowania Karty albo jej kodu należy niezwłocznie zgłosić na info@centrum-wsparcia.pl, podając dane pozwalające odnaleźć wpis i bezpiecznie skontaktować się z posiadaczem.</w:t>
      </w:r>
    </w:p>
    <w:p>
      <w:pPr>
        <w:ind w:left="295" w:hanging="295"/>
      </w:pPr>
      <w:r>
        <w:t xml:space="preserve">2. </w:t>
      </w:r>
      <w:r>
        <w:t>Organizator po otrzymaniu i zweryfikowaniu zgłoszenia blokuje zagrożony identyfikator bez zbędnej zwłoki. Potwierdza blokadę oraz sposób odzyskania dostępu. Jeśli blokada dotyczy wspólnego tokenu, może objąć obie wersje Karty.</w:t>
      </w:r>
    </w:p>
    <w:p>
      <w:pPr>
        <w:ind w:left="295" w:hanging="295"/>
      </w:pPr>
      <w:r>
        <w:t xml:space="preserve">3. </w:t>
      </w:r>
      <w:r>
        <w:t>Wydanie duplikatu wymaga potwierdzenia tożsamości i uprawnień. Nowa Karta pozostaje powiązana z dotychczasowym saldem i historią. Wydanie nie uruchamia ponownie zużytych benefitów jednorazowych.</w:t>
      </w:r>
    </w:p>
    <w:p>
      <w:pPr>
        <w:ind w:left="295" w:hanging="295"/>
      </w:pPr>
      <w:r>
        <w:t xml:space="preserve">4. </w:t>
      </w:r>
      <w:r>
        <w:t>Koszt duplikatu podaje się przed jego zamówieniem. Wady nośnika lub błędy personalizacji, za które odpowiada wydawca, rozpatruje się według właściwych zasad odpowiedzialności, bez automatycznego obciążenia posiadacza.</w:t>
      </w:r>
    </w:p>
    <w:p>
      <w:pPr>
        <w:ind w:left="295" w:hanging="295"/>
      </w:pPr>
      <w:r>
        <w:t xml:space="preserve">5. </w:t>
      </w:r>
      <w:r>
        <w:t>Po odnalezieniu starej, zablokowanej Karty nie wolno jej używać bez wyraźnego potwierdzenia Organizatora. Posiadacz postępuje zgodnie z instrukcją zwrotu lub bezpiecznego zniszczenia nośnika.</w:t>
      </w:r>
    </w:p>
    <w:p>
      <w:pPr>
        <w:pStyle w:val="Heading1"/>
      </w:pPr>
      <w:r>
        <w:t>Rozdział 9  Obowiązki posiadacza i działania niedozwolone</w:t>
      </w:r>
    </w:p>
    <w:p>
      <w:pPr>
        <w:ind w:left="295" w:hanging="295"/>
      </w:pPr>
      <w:r>
        <w:t xml:space="preserve">1. </w:t>
      </w:r>
      <w:r>
        <w:t>Posiadacz dba o zgodność danych, chroni urządzenie z Kartą wirtualną i zachowuje nośnik w stanie umożliwiającym odczyt. Unika zginania, uszkodzeń mechanicznych i warunków sprzecznych z instrukcją producenta.</w:t>
      </w:r>
    </w:p>
    <w:p>
      <w:pPr>
        <w:ind w:left="295" w:hanging="295"/>
      </w:pPr>
      <w:r>
        <w:t xml:space="preserve">2. </w:t>
      </w:r>
      <w:r>
        <w:t>Zabronione są sprzedaż i użyczanie uprawnień, przerabianie danych lub statusu, podmiana kodu, kopiowanie cudzej Karty, nieuprawnione programowanie chipu i obchodzenie zabezpieczeń.</w:t>
      </w:r>
    </w:p>
    <w:p>
      <w:pPr>
        <w:ind w:left="295" w:hanging="295"/>
      </w:pPr>
      <w:r>
        <w:t xml:space="preserve">3. </w:t>
      </w:r>
      <w:r>
        <w:t>Posiadacz nie publikuje działającego QR ani tokenu w otwartych mediach. Przy publicznej prezentacji używa wzoru bez aktywnych uprawnień lub zasłania dane i kody identyfikacyjne.</w:t>
      </w:r>
    </w:p>
    <w:p>
      <w:pPr>
        <w:ind w:left="295" w:hanging="295"/>
      </w:pPr>
      <w:r>
        <w:t xml:space="preserve">4. </w:t>
      </w:r>
      <w:r>
        <w:t>Posiadacz zgłasza zauważony błąd salda lub weryfikacji i nie wykorzystuje go do uzyskania nienależnej korzyści. Organizator dokumentuje działania wyjaśniające, umożliwia wyjaśnienia i stosuje środki określone w Regulaminie uczestnictwa.</w:t>
      </w:r>
    </w:p>
    <w:p>
      <w:pPr>
        <w:ind w:left="295" w:hanging="295"/>
      </w:pPr>
      <w:r>
        <w:t xml:space="preserve">5. </w:t>
      </w:r>
      <w:r>
        <w:t>Odpowiedzialność za nieuprawnione użycie ocenia się zgodnie z okolicznościami i prawem. Sam fakt zgubienia nośnika nie uzasadnia automatycznego przypisania posiadaczowi wszystkich szkód lub utraty prawidłowo zgromadzonych Punktów.</w:t>
      </w:r>
    </w:p>
    <w:p>
      <w:pPr>
        <w:pStyle w:val="Heading1"/>
      </w:pPr>
      <w:r>
        <w:t>Rozdział 10  Opłaty i koszty</w:t>
      </w:r>
    </w:p>
    <w:p>
      <w:pPr>
        <w:ind w:left="295" w:hanging="295"/>
      </w:pPr>
      <w:r>
        <w:t xml:space="preserve">1. </w:t>
      </w:r>
      <w:r>
        <w:t>Samo uprawnienie do ubiegania się o benefity z aktywną Kartą nie jest uzależnione od wniesienia darowizny, opłacenia składki członkowskiej ani płatnej zgody na marketing.</w:t>
      </w:r>
    </w:p>
    <w:p>
      <w:pPr>
        <w:ind w:left="295" w:hanging="295"/>
      </w:pPr>
      <w:r>
        <w:t xml:space="preserve">2. </w:t>
      </w:r>
      <w:r>
        <w:t>Ewentualne opłaty za fizyczny nośnik, personalizację, duplikat i dostawę wymagają wcześniej ogłoszonego cennika oraz akceptacji konkretnej kwoty. Organizator wskazuje podmiot pobierający opłatę i wystawiający wymagane dokumenty.</w:t>
      </w:r>
    </w:p>
    <w:p>
      <w:pPr>
        <w:ind w:left="295" w:hanging="295"/>
      </w:pPr>
      <w:r>
        <w:t xml:space="preserve">3. </w:t>
      </w:r>
      <w:r>
        <w:t>Koszty połączenia internetowego i transmisji danych wynikają z umowy posiadacza z jego operatorem. Towary i usługi Partnera są odpłatne w części nieobjętej ogłoszoną korzyścią, zgodnie z ceną podaną przed zakupem.</w:t>
      </w:r>
    </w:p>
    <w:p>
      <w:pPr>
        <w:ind w:left="295" w:hanging="295"/>
      </w:pPr>
      <w:r>
        <w:t xml:space="preserve">4. </w:t>
      </w:r>
      <w:r>
        <w:t>Zamówienie Karty, samo posiadanie nośnika lub jego oznaczenie NFC nie gwarantują dostępności każdej nagrody i każdej oferty w przyszłości. Potwierdzone rezerwacje i umowy są jednak rozliczane na uzgodnionych warunkach.</w:t>
      </w:r>
    </w:p>
    <w:p>
      <w:pPr>
        <w:pStyle w:val="Heading1"/>
      </w:pPr>
      <w:r>
        <w:t>Rozdział 11  Dane osobowe i ochrona informacji</w:t>
      </w:r>
    </w:p>
    <w:p>
      <w:pPr>
        <w:ind w:left="295" w:hanging="295"/>
      </w:pPr>
      <w:r>
        <w:t xml:space="preserve">1. </w:t>
      </w:r>
      <w:r>
        <w:t>Administratorem danych w zakresie wydawania i obsługi Karty jest Organizator. Kontakt, cele i podstawy przetwarzania, odbiorcy, okresy przechowywania i prawa osób wynikają z pełnej informacji RODO udostępnionej przed zebraniem danych.</w:t>
      </w:r>
    </w:p>
    <w:p>
      <w:pPr>
        <w:ind w:left="295" w:hanging="295"/>
      </w:pPr>
      <w:r>
        <w:t xml:space="preserve">2. </w:t>
      </w:r>
      <w:r>
        <w:t>Weryfikacja Karty powinna ujawniać wyłącznie dane konieczne do danego uprawnienia. Firma drukująca nośnik i dostawcy techniczni otrzymują tylko zakres potrzebny do realizacji usługi, przy prawidłowym uregulowaniu dostępu i odpowiedzialności.</w:t>
      </w:r>
    </w:p>
    <w:p>
      <w:pPr>
        <w:ind w:left="295" w:hanging="295"/>
      </w:pPr>
      <w:r>
        <w:t xml:space="preserve">3. </w:t>
      </w:r>
      <w:r>
        <w:t>Udostępnienie Karty nie oznacza zgody na marketing Partnerów ani publikację wizerunku. Odrębne zgody są dobrowolne, a ich odmowa i wycofanie nie pozbawiają uprawnień nabytych zgodnie z dokumentami Programu.</w:t>
      </w:r>
    </w:p>
    <w:p>
      <w:pPr>
        <w:ind w:left="295" w:hanging="295"/>
      </w:pPr>
      <w:r>
        <w:t xml:space="preserve">4. </w:t>
      </w:r>
      <w:r>
        <w:t>Po unieważnieniu Karty Organizator ogranicza dostęp i przechowywanie danych zgodnie z właściwym celem oraz obowiązkami prawnymi. Wyłączenie identyfikatora nie jest równoznaczne z natychmiastowym usunięciem każdej dokumentacji wymaganej prawem.</w:t>
      </w:r>
    </w:p>
    <w:p>
      <w:pPr>
        <w:pStyle w:val="Heading1"/>
      </w:pPr>
      <w:r>
        <w:t>Rozdział 12  Reklamacje i postanowienia końcowe</w:t>
      </w:r>
    </w:p>
    <w:p>
      <w:pPr>
        <w:ind w:left="295" w:hanging="295"/>
      </w:pPr>
      <w:r>
        <w:t xml:space="preserve">1. </w:t>
      </w:r>
      <w:r>
        <w:t>Problemy dotyczące nośnika, aktywacji, odczytu NFC lub QR i uznania statusu zgłasza się na info@centrum-wsparcia.pl albo pisemnie na adres Organizatora. Należy opisać zdarzenie, datę i, jeśli jest znany, numer Karty oraz podać kontakt zwrotny.</w:t>
      </w:r>
    </w:p>
    <w:p>
      <w:pPr>
        <w:ind w:left="295" w:hanging="295"/>
      </w:pPr>
      <w:r>
        <w:t xml:space="preserve">2. </w:t>
      </w:r>
      <w:r>
        <w:t>Organizator rozpatruje reklamację w ciągu 14 dni kalendarzowych. W złożonej sprawie przed upływem terminu wyjaśnia przyczynę i podaje termin nie dłuższy niż 30 dni od zgłoszenia. Nie narusza to terminów i uprawnień wynikających bezwzględnie z prawa, w tym przepisów konsumenckich, gdy mają zastosowanie.</w:t>
      </w:r>
    </w:p>
    <w:p>
      <w:pPr>
        <w:ind w:left="295" w:hanging="295"/>
      </w:pPr>
      <w:r>
        <w:t xml:space="preserve">3. </w:t>
      </w:r>
      <w:r>
        <w:t>Tryb ponownego rozpatrzenia, proporcjonalne zawieszanie uprawnień, zasady zmian i zakończenia uczestnictwa określa Regulamin uczestnictwa. Utrata ważności Karty nie usuwa automatycznie salda; jego rozliczenie następuje według tego Regulaminu.</w:t>
      </w:r>
    </w:p>
    <w:p>
      <w:pPr>
        <w:ind w:left="295" w:hanging="295"/>
      </w:pPr>
      <w:r>
        <w:t xml:space="preserve">4. </w:t>
      </w:r>
      <w:r>
        <w:t>Zasady wchodzą w życie po zatwierdzeniu przez właściwy statutowo organ Organizatora, od daty określonej w uchwale i ogłoszonej uczestnikom. Przed uruchomieniem wydawania Organizator zapewnia działającą weryfikację, obsługę blokad i instrukcję dla Partnerów.</w:t>
      </w:r>
    </w:p>
    <w:p>
      <w:pPr>
        <w:ind w:left="295" w:hanging="295"/>
      </w:pPr>
      <w:r>
        <w:t xml:space="preserve">5. </w:t>
      </w:r>
      <w:r>
        <w:t>Aktualna wersja jest udostępniana w formie możliwej do zapisania w serwisie Programu wskazanym na www.centrum-wsparcia.pl. O zmianie Organizator zawiadamia z co najmniej 14-dniowym wyprzedzeniem, z wyjątkami dotyczącymi koniecznych zmian prawa lub pilnej ochrony bezpieczeństwa, opisanymi w Regulaminie uczestnictwa.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77" w:right="1191" w:bottom="1020" w:left="1247" w:header="39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right"/>
    </w:pPr>
    <w:r>
      <w:rPr>
        <w:sz w:val="16"/>
      </w:rPr>
      <w:t xml:space="preserve">Wersja 1.0  |  Strona </w:t>
    </w:r>
    <w:r/>
    <w:fldSimple w:instr="PAGE"/>
    <w:r>
      <w:rPr>
        <w:sz w:val="16"/>
      </w:rPr>
      <w:t xml:space="preserve"> z </w:t>
    </w:r>
    <w:r/>
    <w:fldSimple w:instr="NUMPAGES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</w:pPr>
    <w:r>
      <w:rPr>
        <w:b/>
        <w:color w:val="000000"/>
        <w:sz w:val="16"/>
      </w:rPr>
      <w:t>PUNKTY DOBRA | JUST DO IT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20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80" w:after="140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Zasady korzystania z karty wolontariusza Program Punkty Dobra</dc:title>
  <dc:subject>Program wolontariatu Punkty Dobra</dc:subject>
  <dc:creator>Stowarzyszenie Centrum Wsparcia - „Just Do It”</dc:creator>
  <cp:keywords>wolontariat, Punkty Dobra, Just Do It, regulamin, karta NFC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